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BD1E4" w14:textId="7882B127" w:rsidR="00FE16D8" w:rsidRDefault="00FE16D8">
      <w:pPr>
        <w:pStyle w:val="BodyText"/>
        <w:spacing w:before="4"/>
        <w:rPr>
          <w:rFonts w:ascii="Times New Roman"/>
          <w:i/>
          <w:sz w:val="17"/>
        </w:rPr>
      </w:pPr>
    </w:p>
    <w:p w14:paraId="55DA5479" w14:textId="77777777" w:rsidR="00E514BE" w:rsidRDefault="00E514BE" w:rsidP="00E514BE">
      <w:pPr>
        <w:pStyle w:val="Chapters"/>
      </w:pPr>
      <w:r>
        <w:t>Utility</w:t>
      </w:r>
      <w:r>
        <w:rPr>
          <w:spacing w:val="-5"/>
        </w:rPr>
        <w:t xml:space="preserve"> </w:t>
      </w:r>
      <w:r>
        <w:t>Approach</w:t>
      </w:r>
      <w:r>
        <w:rPr>
          <w:spacing w:val="-2"/>
        </w:rPr>
        <w:t xml:space="preserve"> </w:t>
      </w:r>
      <w:r>
        <w:t>to</w:t>
      </w:r>
      <w:r>
        <w:rPr>
          <w:spacing w:val="-4"/>
        </w:rPr>
        <w:t xml:space="preserve"> </w:t>
      </w:r>
      <w:r>
        <w:t>Fire</w:t>
      </w:r>
      <w:r>
        <w:rPr>
          <w:spacing w:val="-4"/>
        </w:rPr>
        <w:t xml:space="preserve"> </w:t>
      </w:r>
      <w:r>
        <w:t>Safety</w:t>
      </w:r>
      <w:r>
        <w:rPr>
          <w:spacing w:val="-2"/>
        </w:rPr>
        <w:t xml:space="preserve"> </w:t>
      </w:r>
      <w:r>
        <w:t>and</w:t>
      </w:r>
      <w:r>
        <w:rPr>
          <w:spacing w:val="-5"/>
        </w:rPr>
        <w:t xml:space="preserve"> </w:t>
      </w:r>
      <w:r>
        <w:t>Risk</w:t>
      </w:r>
      <w:r>
        <w:rPr>
          <w:spacing w:val="-5"/>
        </w:rPr>
        <w:t xml:space="preserve"> </w:t>
      </w:r>
      <w:r>
        <w:rPr>
          <w:spacing w:val="-2"/>
        </w:rPr>
        <w:t>Reduction</w:t>
      </w:r>
    </w:p>
    <w:p w14:paraId="1E8BD1E5" w14:textId="77777777" w:rsidR="00FE16D8" w:rsidRDefault="00FE16D8">
      <w:pPr>
        <w:rPr>
          <w:rFonts w:ascii="Times New Roman"/>
          <w:sz w:val="17"/>
        </w:rPr>
        <w:sectPr w:rsidR="00FE16D8" w:rsidSect="00E514BE">
          <w:headerReference w:type="default" r:id="rId6"/>
          <w:type w:val="continuous"/>
          <w:pgSz w:w="12240" w:h="15840"/>
          <w:pgMar w:top="1440" w:right="1440" w:bottom="1440" w:left="1440" w:header="720" w:footer="0" w:gutter="0"/>
          <w:pgNumType w:start="1"/>
          <w:cols w:space="720"/>
          <w:docGrid w:linePitch="299"/>
        </w:sectPr>
      </w:pPr>
    </w:p>
    <w:p w14:paraId="1E8BD1E6" w14:textId="77777777" w:rsidR="00FE16D8" w:rsidRDefault="00FE16D8">
      <w:pPr>
        <w:pStyle w:val="BodyText"/>
        <w:spacing w:before="9"/>
        <w:rPr>
          <w:rFonts w:ascii="Times New Roman"/>
          <w:i/>
          <w:sz w:val="4"/>
        </w:rPr>
      </w:pPr>
    </w:p>
    <w:p w14:paraId="1E8BD1E7" w14:textId="50087DF2" w:rsidR="00FE16D8" w:rsidRDefault="00FE16D8">
      <w:pPr>
        <w:pStyle w:val="BodyText"/>
        <w:spacing w:line="28" w:lineRule="exact"/>
        <w:ind w:left="-309"/>
        <w:rPr>
          <w:rFonts w:ascii="Times New Roman"/>
          <w:i/>
          <w:sz w:val="2"/>
        </w:rPr>
      </w:pPr>
    </w:p>
    <w:p w14:paraId="4B8136C6" w14:textId="77777777" w:rsidR="00E514BE" w:rsidRDefault="00E514BE" w:rsidP="00E514BE">
      <w:pPr>
        <w:pStyle w:val="Chapters"/>
      </w:pPr>
      <w:r>
        <w:t>Utility</w:t>
      </w:r>
      <w:r>
        <w:rPr>
          <w:spacing w:val="-5"/>
        </w:rPr>
        <w:t xml:space="preserve"> </w:t>
      </w:r>
      <w:r>
        <w:t>Approach</w:t>
      </w:r>
      <w:r>
        <w:rPr>
          <w:spacing w:val="-2"/>
        </w:rPr>
        <w:t xml:space="preserve"> </w:t>
      </w:r>
      <w:r>
        <w:t>to</w:t>
      </w:r>
      <w:r>
        <w:rPr>
          <w:spacing w:val="-4"/>
        </w:rPr>
        <w:t xml:space="preserve"> </w:t>
      </w:r>
      <w:r>
        <w:t>Fire</w:t>
      </w:r>
      <w:r>
        <w:rPr>
          <w:spacing w:val="-4"/>
        </w:rPr>
        <w:t xml:space="preserve"> </w:t>
      </w:r>
      <w:r>
        <w:t>Safety</w:t>
      </w:r>
      <w:r>
        <w:rPr>
          <w:spacing w:val="-2"/>
        </w:rPr>
        <w:t xml:space="preserve"> </w:t>
      </w:r>
      <w:r>
        <w:t>and</w:t>
      </w:r>
      <w:r>
        <w:rPr>
          <w:spacing w:val="-5"/>
        </w:rPr>
        <w:t xml:space="preserve"> </w:t>
      </w:r>
      <w:r>
        <w:t>Risk</w:t>
      </w:r>
      <w:r>
        <w:rPr>
          <w:spacing w:val="-5"/>
        </w:rPr>
        <w:t xml:space="preserve"> </w:t>
      </w:r>
      <w:r>
        <w:rPr>
          <w:spacing w:val="-2"/>
        </w:rPr>
        <w:t>Reduction</w:t>
      </w:r>
    </w:p>
    <w:p w14:paraId="1E8BD1E8" w14:textId="77777777" w:rsidR="00FE16D8" w:rsidRDefault="00FE16D8">
      <w:pPr>
        <w:pStyle w:val="BodyText"/>
        <w:spacing w:before="110"/>
        <w:rPr>
          <w:rFonts w:ascii="Times New Roman"/>
          <w:i/>
        </w:rPr>
      </w:pPr>
    </w:p>
    <w:p w14:paraId="1E8BD217" w14:textId="759D9E3C" w:rsidR="00FE16D8" w:rsidRPr="00E514BE" w:rsidRDefault="00C746B9" w:rsidP="00E514BE">
      <w:pPr>
        <w:pStyle w:val="Instructionstext"/>
      </w:pPr>
      <w:r w:rsidRPr="00E514BE">
        <w:rPr>
          <w:i w:val="0"/>
        </w:rPr>
        <w:t xml:space="preserve">The Utility has in place </w:t>
      </w:r>
      <w:proofErr w:type="gramStart"/>
      <w:r w:rsidRPr="00E514BE">
        <w:rPr>
          <w:i w:val="0"/>
        </w:rPr>
        <w:t>a number of</w:t>
      </w:r>
      <w:proofErr w:type="gramEnd"/>
      <w:r w:rsidRPr="00E514BE">
        <w:rPr>
          <w:i w:val="0"/>
        </w:rPr>
        <w:t xml:space="preserve"> plans and programs to prevent and mitigate the risk of fire ignitions associated with the operations and maintenance of electric power facilities. These plans and programs are evaluated regularly to ensure compliance with current fire prevention policies and</w:t>
      </w:r>
      <w:r w:rsidRPr="00E514BE">
        <w:rPr>
          <w:i w:val="0"/>
          <w:spacing w:val="-2"/>
        </w:rPr>
        <w:t xml:space="preserve"> </w:t>
      </w:r>
      <w:r w:rsidRPr="00E514BE">
        <w:rPr>
          <w:i w:val="0"/>
        </w:rPr>
        <w:t>best</w:t>
      </w:r>
      <w:r w:rsidRPr="00E514BE">
        <w:rPr>
          <w:i w:val="0"/>
          <w:spacing w:val="-1"/>
        </w:rPr>
        <w:t xml:space="preserve"> </w:t>
      </w:r>
      <w:r w:rsidRPr="00E514BE">
        <w:rPr>
          <w:i w:val="0"/>
        </w:rPr>
        <w:t>practices.</w:t>
      </w:r>
      <w:r w:rsidRPr="00E514BE">
        <w:rPr>
          <w:i w:val="0"/>
          <w:spacing w:val="-5"/>
        </w:rPr>
        <w:t xml:space="preserve"> </w:t>
      </w:r>
      <w:r w:rsidRPr="00E514BE">
        <w:rPr>
          <w:i w:val="0"/>
        </w:rPr>
        <w:t>Due</w:t>
      </w:r>
      <w:r w:rsidRPr="00E514BE">
        <w:rPr>
          <w:i w:val="0"/>
          <w:spacing w:val="-2"/>
        </w:rPr>
        <w:t xml:space="preserve"> </w:t>
      </w:r>
      <w:r w:rsidRPr="00E514BE">
        <w:rPr>
          <w:i w:val="0"/>
        </w:rPr>
        <w:t>to</w:t>
      </w:r>
      <w:r w:rsidRPr="00E514BE">
        <w:rPr>
          <w:i w:val="0"/>
          <w:spacing w:val="-3"/>
        </w:rPr>
        <w:t xml:space="preserve"> </w:t>
      </w:r>
      <w:r w:rsidRPr="00E514BE">
        <w:rPr>
          <w:i w:val="0"/>
        </w:rPr>
        <w:t>the</w:t>
      </w:r>
      <w:r w:rsidRPr="00E514BE">
        <w:rPr>
          <w:i w:val="0"/>
          <w:spacing w:val="-2"/>
        </w:rPr>
        <w:t xml:space="preserve"> </w:t>
      </w:r>
      <w:r w:rsidRPr="00E514BE">
        <w:rPr>
          <w:i w:val="0"/>
        </w:rPr>
        <w:t>need</w:t>
      </w:r>
      <w:r w:rsidRPr="00E514BE">
        <w:rPr>
          <w:i w:val="0"/>
          <w:spacing w:val="-2"/>
        </w:rPr>
        <w:t xml:space="preserve"> </w:t>
      </w:r>
      <w:r w:rsidRPr="00E514BE">
        <w:rPr>
          <w:i w:val="0"/>
        </w:rPr>
        <w:t>to</w:t>
      </w:r>
      <w:r w:rsidRPr="00E514BE">
        <w:rPr>
          <w:i w:val="0"/>
          <w:spacing w:val="-3"/>
        </w:rPr>
        <w:t xml:space="preserve"> </w:t>
      </w:r>
      <w:r w:rsidRPr="00E514BE">
        <w:rPr>
          <w:i w:val="0"/>
        </w:rPr>
        <w:t>regularly</w:t>
      </w:r>
      <w:r w:rsidRPr="00E514BE">
        <w:rPr>
          <w:i w:val="0"/>
          <w:spacing w:val="-2"/>
        </w:rPr>
        <w:t xml:space="preserve"> </w:t>
      </w:r>
      <w:r w:rsidRPr="00E514BE">
        <w:rPr>
          <w:i w:val="0"/>
        </w:rPr>
        <w:t>review</w:t>
      </w:r>
      <w:r w:rsidRPr="00E514BE">
        <w:rPr>
          <w:i w:val="0"/>
          <w:spacing w:val="-1"/>
        </w:rPr>
        <w:t xml:space="preserve"> </w:t>
      </w:r>
      <w:r w:rsidRPr="00E514BE">
        <w:rPr>
          <w:i w:val="0"/>
        </w:rPr>
        <w:t>and</w:t>
      </w:r>
      <w:r w:rsidRPr="00E514BE">
        <w:rPr>
          <w:i w:val="0"/>
          <w:spacing w:val="-2"/>
        </w:rPr>
        <w:t xml:space="preserve"> </w:t>
      </w:r>
      <w:r w:rsidRPr="00E514BE">
        <w:rPr>
          <w:i w:val="0"/>
        </w:rPr>
        <w:t>update</w:t>
      </w:r>
      <w:r w:rsidRPr="00E514BE">
        <w:rPr>
          <w:i w:val="0"/>
          <w:spacing w:val="-1"/>
        </w:rPr>
        <w:t xml:space="preserve"> </w:t>
      </w:r>
      <w:r w:rsidRPr="00E514BE">
        <w:rPr>
          <w:i w:val="0"/>
        </w:rPr>
        <w:t>(as</w:t>
      </w:r>
      <w:r w:rsidRPr="00E514BE">
        <w:rPr>
          <w:i w:val="0"/>
          <w:spacing w:val="-2"/>
        </w:rPr>
        <w:t xml:space="preserve"> </w:t>
      </w:r>
      <w:r w:rsidRPr="00E514BE">
        <w:rPr>
          <w:i w:val="0"/>
        </w:rPr>
        <w:t>applicable)</w:t>
      </w:r>
      <w:r w:rsidRPr="00E514BE">
        <w:rPr>
          <w:i w:val="0"/>
          <w:spacing w:val="-3"/>
        </w:rPr>
        <w:t xml:space="preserve"> </w:t>
      </w:r>
      <w:r w:rsidRPr="00E514BE">
        <w:rPr>
          <w:i w:val="0"/>
        </w:rPr>
        <w:t>these</w:t>
      </w:r>
      <w:r w:rsidRPr="00E514BE">
        <w:rPr>
          <w:i w:val="0"/>
          <w:spacing w:val="-5"/>
        </w:rPr>
        <w:t xml:space="preserve"> </w:t>
      </w:r>
      <w:r w:rsidRPr="00E514BE">
        <w:rPr>
          <w:i w:val="0"/>
        </w:rPr>
        <w:t>plans</w:t>
      </w:r>
      <w:r w:rsidRPr="00E514BE">
        <w:rPr>
          <w:i w:val="0"/>
          <w:spacing w:val="-2"/>
        </w:rPr>
        <w:t xml:space="preserve"> </w:t>
      </w:r>
      <w:r w:rsidRPr="00E514BE">
        <w:rPr>
          <w:i w:val="0"/>
        </w:rPr>
        <w:t>and programs, a fire plan is not appended to the O&amp;M Plan. The Utility’s fire plan should be provided to BLM Field Offices as they are updated. The fire plan will not conflict with the O&amp;M Plan.</w:t>
      </w:r>
    </w:p>
    <w:sectPr w:rsidR="00FE16D8" w:rsidRPr="00E514BE" w:rsidSect="00E514BE">
      <w:footerReference w:type="default" r:id="rId7"/>
      <w:pgSz w:w="12240" w:h="15840"/>
      <w:pgMar w:top="2320" w:right="1300" w:bottom="280" w:left="1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9E4AA" w14:textId="77777777" w:rsidR="00F2074E" w:rsidRDefault="00F2074E">
      <w:r>
        <w:separator/>
      </w:r>
    </w:p>
  </w:endnote>
  <w:endnote w:type="continuationSeparator" w:id="0">
    <w:p w14:paraId="545C371D" w14:textId="77777777" w:rsidR="00F2074E" w:rsidRDefault="00F2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C3B3" w14:textId="77777777" w:rsidR="00E514BE" w:rsidRDefault="00E514BE">
    <w:pPr>
      <w:pStyle w:val="Footer"/>
      <w:tabs>
        <w:tab w:val="clear" w:pos="4680"/>
        <w:tab w:val="clear" w:pos="9360"/>
      </w:tabs>
      <w:jc w:val="center"/>
      <w:rPr>
        <w:rFonts w:asciiTheme="minorHAnsi" w:hAnsiTheme="minorHAnsi" w:cstheme="minorHAnsi"/>
        <w:caps/>
        <w:sz w:val="20"/>
        <w:szCs w:val="20"/>
      </w:rPr>
    </w:pPr>
    <w:r>
      <w:rPr>
        <w:i/>
        <w:noProof/>
        <w:sz w:val="2"/>
      </w:rPr>
      <mc:AlternateContent>
        <mc:Choice Requires="wpg">
          <w:drawing>
            <wp:inline distT="0" distB="0" distL="0" distR="0" wp14:anchorId="0A8F14EA" wp14:editId="2E2204AA">
              <wp:extent cx="5854700" cy="6216"/>
              <wp:effectExtent l="0" t="0" r="0" b="0"/>
              <wp:docPr id="821149353" name="Group 821149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0" cy="6216"/>
                        <a:chOff x="0" y="0"/>
                        <a:chExt cx="5981065" cy="6350"/>
                      </a:xfrm>
                    </wpg:grpSpPr>
                    <wps:wsp>
                      <wps:cNvPr id="288285380" name="Graphic 6"/>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D7A8D86" id="Group 821149353" o:spid="_x0000_s1026" style="width:461pt;height:.5pt;mso-position-horizontal-relative:char;mso-position-vertical-relative:line" coordsize="598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">
              <v:shape id="Graphic 6" o:spid="_x0000_s1027" style="position:absolute;width:59810;height:63;visibility:visible;mso-wrap-style:square;v-text-anchor:top" coordsize="59810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" path="m5981065,l,,,6095r5981065,l5981065,xe" fillcolor="black" stroked="f">
                <v:path arrowok="t"/>
              </v:shape>
              <w10:anchorlock/>
            </v:group>
          </w:pict>
        </mc:Fallback>
      </mc:AlternateContent>
    </w:r>
  </w:p>
  <w:p w14:paraId="39D68BF6" w14:textId="77777777" w:rsidR="00E514BE" w:rsidRDefault="00E514BE">
    <w:pPr>
      <w:pStyle w:val="Footer"/>
      <w:tabs>
        <w:tab w:val="clear" w:pos="4680"/>
        <w:tab w:val="clear" w:pos="9360"/>
      </w:tabs>
      <w:jc w:val="center"/>
      <w:rPr>
        <w:rFonts w:asciiTheme="minorHAnsi" w:hAnsiTheme="minorHAnsi" w:cstheme="minorHAnsi"/>
        <w:caps/>
        <w:sz w:val="20"/>
        <w:szCs w:val="20"/>
      </w:rPr>
    </w:pPr>
  </w:p>
  <w:p w14:paraId="76C41F5A" w14:textId="77777777" w:rsidR="00E514BE" w:rsidRPr="00E514BE" w:rsidRDefault="00E514BE">
    <w:pPr>
      <w:pStyle w:val="Footer"/>
      <w:tabs>
        <w:tab w:val="clear" w:pos="4680"/>
        <w:tab w:val="clear" w:pos="9360"/>
      </w:tabs>
      <w:jc w:val="center"/>
      <w:rPr>
        <w:rFonts w:asciiTheme="minorHAnsi" w:hAnsiTheme="minorHAnsi" w:cstheme="minorHAnsi"/>
        <w:caps/>
        <w:noProof/>
        <w:sz w:val="20"/>
        <w:szCs w:val="20"/>
      </w:rPr>
    </w:pPr>
    <w:r w:rsidRPr="00E514BE">
      <w:rPr>
        <w:rFonts w:asciiTheme="minorHAnsi" w:hAnsiTheme="minorHAnsi" w:cstheme="minorHAnsi"/>
        <w:caps/>
        <w:sz w:val="20"/>
        <w:szCs w:val="20"/>
        <w:highlight w:val="yellow"/>
      </w:rPr>
      <w:t>X</w:t>
    </w:r>
    <w:r>
      <w:rPr>
        <w:rFonts w:asciiTheme="minorHAnsi" w:hAnsiTheme="minorHAnsi" w:cstheme="minorHAnsi"/>
        <w:caps/>
        <w:sz w:val="20"/>
        <w:szCs w:val="20"/>
      </w:rPr>
      <w:t>-</w:t>
    </w:r>
    <w:r w:rsidRPr="00E514BE">
      <w:rPr>
        <w:rFonts w:asciiTheme="minorHAnsi" w:hAnsiTheme="minorHAnsi" w:cstheme="minorHAnsi"/>
        <w:caps/>
        <w:sz w:val="20"/>
        <w:szCs w:val="20"/>
      </w:rPr>
      <w:fldChar w:fldCharType="begin"/>
    </w:r>
    <w:r w:rsidRPr="00E514BE">
      <w:rPr>
        <w:rFonts w:asciiTheme="minorHAnsi" w:hAnsiTheme="minorHAnsi" w:cstheme="minorHAnsi"/>
        <w:caps/>
        <w:sz w:val="20"/>
        <w:szCs w:val="20"/>
      </w:rPr>
      <w:instrText xml:space="preserve"> PAGE   \* MERGEFORMAT </w:instrText>
    </w:r>
    <w:r w:rsidRPr="00E514BE">
      <w:rPr>
        <w:rFonts w:asciiTheme="minorHAnsi" w:hAnsiTheme="minorHAnsi" w:cstheme="minorHAnsi"/>
        <w:caps/>
        <w:sz w:val="20"/>
        <w:szCs w:val="20"/>
      </w:rPr>
      <w:fldChar w:fldCharType="separate"/>
    </w:r>
    <w:r w:rsidRPr="00E514BE">
      <w:rPr>
        <w:rFonts w:asciiTheme="minorHAnsi" w:hAnsiTheme="minorHAnsi" w:cstheme="minorHAnsi"/>
        <w:caps/>
        <w:noProof/>
        <w:sz w:val="20"/>
        <w:szCs w:val="20"/>
      </w:rPr>
      <w:t>2</w:t>
    </w:r>
    <w:r w:rsidRPr="00E514BE">
      <w:rPr>
        <w:rFonts w:asciiTheme="minorHAnsi" w:hAnsiTheme="minorHAnsi" w:cstheme="minorHAnsi"/>
        <w:caps/>
        <w:noProof/>
        <w:sz w:val="20"/>
        <w:szCs w:val="20"/>
      </w:rPr>
      <w:fldChar w:fldCharType="end"/>
    </w:r>
  </w:p>
  <w:p w14:paraId="5CF3A85E" w14:textId="77777777" w:rsidR="00E514BE" w:rsidRDefault="00E51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F1B97" w14:textId="77777777" w:rsidR="00F2074E" w:rsidRDefault="00F2074E">
      <w:r>
        <w:separator/>
      </w:r>
    </w:p>
  </w:footnote>
  <w:footnote w:type="continuationSeparator" w:id="0">
    <w:p w14:paraId="3997150A" w14:textId="77777777" w:rsidR="00F2074E" w:rsidRDefault="00F2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BD21E" w14:textId="7C3FBC01" w:rsidR="00FE16D8" w:rsidRDefault="00FE16D8">
    <w:pPr>
      <w:pStyle w:val="BodyText"/>
      <w:spacing w:line="14" w:lineRule="auto"/>
      <w:rPr>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6D8"/>
    <w:rsid w:val="00305726"/>
    <w:rsid w:val="00782783"/>
    <w:rsid w:val="00803A5D"/>
    <w:rsid w:val="00914BDC"/>
    <w:rsid w:val="00A004B1"/>
    <w:rsid w:val="00AC02F4"/>
    <w:rsid w:val="00BE437B"/>
    <w:rsid w:val="00C1108C"/>
    <w:rsid w:val="00C746B9"/>
    <w:rsid w:val="00C84CC1"/>
    <w:rsid w:val="00E514BE"/>
    <w:rsid w:val="00E62E11"/>
    <w:rsid w:val="00EE6DC1"/>
    <w:rsid w:val="00F2074E"/>
    <w:rsid w:val="00FE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BD1E4"/>
  <w15:docId w15:val="{668E5812-B196-4C28-8083-160A8723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next w:val="Normal"/>
    <w:link w:val="Heading1Char"/>
    <w:uiPriority w:val="9"/>
    <w:qFormat/>
    <w:rsid w:val="00E514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14BE"/>
    <w:rPr>
      <w:iCs/>
    </w:rPr>
  </w:style>
  <w:style w:type="paragraph" w:styleId="Title">
    <w:name w:val="Title"/>
    <w:basedOn w:val="Normal"/>
    <w:uiPriority w:val="10"/>
    <w:qFormat/>
    <w:pPr>
      <w:spacing w:line="464" w:lineRule="exact"/>
      <w:ind w:right="23"/>
      <w:jc w:val="right"/>
    </w:pPr>
    <w:rPr>
      <w:rFonts w:ascii="Calibri" w:eastAsia="Calibri" w:hAnsi="Calibri" w:cs="Calibri"/>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5726"/>
    <w:pPr>
      <w:tabs>
        <w:tab w:val="center" w:pos="4680"/>
        <w:tab w:val="right" w:pos="9360"/>
      </w:tabs>
    </w:pPr>
  </w:style>
  <w:style w:type="character" w:customStyle="1" w:styleId="HeaderChar">
    <w:name w:val="Header Char"/>
    <w:basedOn w:val="DefaultParagraphFont"/>
    <w:link w:val="Header"/>
    <w:uiPriority w:val="99"/>
    <w:rsid w:val="00305726"/>
    <w:rPr>
      <w:rFonts w:ascii="Cambria" w:eastAsia="Cambria" w:hAnsi="Cambria" w:cs="Cambria"/>
    </w:rPr>
  </w:style>
  <w:style w:type="paragraph" w:styleId="Footer">
    <w:name w:val="footer"/>
    <w:basedOn w:val="Normal"/>
    <w:link w:val="FooterChar"/>
    <w:uiPriority w:val="99"/>
    <w:unhideWhenUsed/>
    <w:rsid w:val="00305726"/>
    <w:pPr>
      <w:tabs>
        <w:tab w:val="center" w:pos="4680"/>
        <w:tab w:val="right" w:pos="9360"/>
      </w:tabs>
    </w:pPr>
  </w:style>
  <w:style w:type="character" w:customStyle="1" w:styleId="FooterChar">
    <w:name w:val="Footer Char"/>
    <w:basedOn w:val="DefaultParagraphFont"/>
    <w:link w:val="Footer"/>
    <w:uiPriority w:val="99"/>
    <w:rsid w:val="00305726"/>
    <w:rPr>
      <w:rFonts w:ascii="Cambria" w:eastAsia="Cambria" w:hAnsi="Cambria" w:cs="Cambria"/>
    </w:rPr>
  </w:style>
  <w:style w:type="paragraph" w:styleId="Revision">
    <w:name w:val="Revision"/>
    <w:hidden/>
    <w:uiPriority w:val="99"/>
    <w:semiHidden/>
    <w:rsid w:val="00305726"/>
    <w:pPr>
      <w:widowControl/>
      <w:autoSpaceDE/>
      <w:autoSpaceDN/>
    </w:pPr>
    <w:rPr>
      <w:rFonts w:ascii="Cambria" w:eastAsia="Cambria" w:hAnsi="Cambria" w:cs="Cambria"/>
    </w:rPr>
  </w:style>
  <w:style w:type="character" w:styleId="PlaceholderText">
    <w:name w:val="Placeholder Text"/>
    <w:basedOn w:val="DefaultParagraphFont"/>
    <w:uiPriority w:val="99"/>
    <w:semiHidden/>
    <w:rsid w:val="00305726"/>
    <w:rPr>
      <w:color w:val="666666"/>
    </w:rPr>
  </w:style>
  <w:style w:type="paragraph" w:customStyle="1" w:styleId="Instructionstext">
    <w:name w:val="Instructions text"/>
    <w:basedOn w:val="BodyText"/>
    <w:link w:val="InstructionstextChar"/>
    <w:qFormat/>
    <w:rsid w:val="00E514BE"/>
    <w:pPr>
      <w:spacing w:line="259" w:lineRule="auto"/>
      <w:ind w:left="152" w:right="146"/>
    </w:pPr>
    <w:rPr>
      <w:rFonts w:ascii="Arial" w:hAnsi="Arial" w:cs="Arial"/>
      <w:b/>
      <w:bCs/>
      <w:i/>
      <w:iCs w:val="0"/>
      <w:color w:val="C00000"/>
    </w:rPr>
  </w:style>
  <w:style w:type="character" w:customStyle="1" w:styleId="BodyTextChar">
    <w:name w:val="Body Text Char"/>
    <w:basedOn w:val="DefaultParagraphFont"/>
    <w:link w:val="BodyText"/>
    <w:uiPriority w:val="1"/>
    <w:rsid w:val="00E514BE"/>
    <w:rPr>
      <w:rFonts w:ascii="Cambria" w:eastAsia="Cambria" w:hAnsi="Cambria" w:cs="Cambria"/>
      <w:iCs/>
    </w:rPr>
  </w:style>
  <w:style w:type="character" w:customStyle="1" w:styleId="InstructionstextChar">
    <w:name w:val="Instructions text Char"/>
    <w:basedOn w:val="BodyTextChar"/>
    <w:link w:val="Instructionstext"/>
    <w:rsid w:val="00E514BE"/>
    <w:rPr>
      <w:rFonts w:ascii="Arial" w:eastAsia="Cambria" w:hAnsi="Arial" w:cs="Arial"/>
      <w:b/>
      <w:bCs/>
      <w:i/>
      <w:iCs w:val="0"/>
      <w:color w:val="C00000"/>
    </w:rPr>
  </w:style>
  <w:style w:type="paragraph" w:customStyle="1" w:styleId="Chapters">
    <w:name w:val="Chapters"/>
    <w:basedOn w:val="Heading1"/>
    <w:link w:val="ChaptersChar"/>
    <w:qFormat/>
    <w:rsid w:val="00E514BE"/>
    <w:pPr>
      <w:pBdr>
        <w:bottom w:val="single" w:sz="8" w:space="1" w:color="auto"/>
      </w:pBdr>
      <w:spacing w:before="0"/>
      <w:ind w:right="29"/>
      <w:jc w:val="right"/>
    </w:pPr>
    <w:rPr>
      <w:rFonts w:ascii="Calibri"/>
      <w:b/>
      <w:color w:val="auto"/>
      <w:sz w:val="40"/>
    </w:rPr>
  </w:style>
  <w:style w:type="character" w:customStyle="1" w:styleId="ChaptersChar">
    <w:name w:val="Chapters Char"/>
    <w:basedOn w:val="DefaultParagraphFont"/>
    <w:link w:val="Chapters"/>
    <w:rsid w:val="00E514BE"/>
    <w:rPr>
      <w:rFonts w:ascii="Calibri" w:eastAsiaTheme="majorEastAsia" w:hAnsiTheme="majorHAnsi" w:cstheme="majorBidi"/>
      <w:b/>
      <w:sz w:val="40"/>
      <w:szCs w:val="32"/>
    </w:rPr>
  </w:style>
  <w:style w:type="character" w:customStyle="1" w:styleId="Heading1Char">
    <w:name w:val="Heading 1 Char"/>
    <w:basedOn w:val="DefaultParagraphFont"/>
    <w:link w:val="Heading1"/>
    <w:uiPriority w:val="9"/>
    <w:rsid w:val="00E514B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Plan for Electric Facilities on BLM Lands in CA</dc:title>
  <dc:creator>Hoyt, Crystal M</dc:creator>
  <cp:lastModifiedBy>Hoyt, Crystal M</cp:lastModifiedBy>
  <cp:revision>6</cp:revision>
  <dcterms:created xsi:type="dcterms:W3CDTF">2025-03-03T20:58:00Z</dcterms:created>
  <dcterms:modified xsi:type="dcterms:W3CDTF">2025-04-11T21:02:00Z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LastSaved">
    <vt:filetime>2025-03-03T00:00:00Z</vt:filetime>
  </property>
</Properties>
</file>